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highlight w:val="white"/>
        </w:rPr>
        <w:t xml:space="preserve">Если Вы обращаетесь в клинику «Здоровье нации» по договору добровольного медицинского страхования (ДМС), обязательно ознакомьтесь с данной информацией.</w:t>
      </w:r>
      <w:r/>
    </w:p>
    <w:p>
      <w:pPr>
        <w:ind w:left="0" w:right="0" w:firstLine="0"/>
        <w:jc w:val="both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 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Услуги, которые можно получить по договору ДМС в клинике «Здоровье  нации»: 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амбулаторно-поликлиническая помощь 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стоматологическая помощь 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медицинская помощь на дому 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скорая медицинская помощь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стационарная медицинская помощь, включая стационарозамещающие технологии (стационар одного дня, дневной стационар)</w:t>
        <w:br/>
        <w:t xml:space="preserve"> 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Пациент может получить услуги в рамках программы ДМС (за счет страховой компании) только при наличии страхового случая!</w:t>
        <w:br/>
        <w:t xml:space="preserve"> </w:t>
        <w:br/>
        <w:t xml:space="preserve"> Страховым случаем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является обращение Застрахованного в течение срока действия Договора страхования за получением медицинской помощи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 остром заболевании, обострении хронического заболевания, травме, отравлении, обморожении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ожогах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в соответствии с условиями Договора страхования и программой страхования.</w:t>
        <w:br/>
        <w:t xml:space="preserve"> 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Не относятся к страховым случаям (лечение данных заболеваний не входит в программы страхования): 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все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хронические заболевания вне обострения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сахарный диабет (I и II тип) и его осложнения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ожирение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заболевания щитовидной железы (если диагноз уже установлен)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онкологические заболевания (злокачественные новообразования, в том числе кроветворной и лимфатической тканей) и их осложнения (кроме первичной диагностики и первого курса лечения)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врожденные и наследственные заболевания, в том числе крови и кроветворных органов, а также врожденных аномалий развития органов и их осложнений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бесплодие (мужское и женское)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планирование семьи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импотенция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венерические заболевания 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психические расстройства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туберкулез (независимо от клинической формы и стадии процесса)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хронические гепатиты, включая гепатит С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ВИЧ-инфекция и осложнения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эпилепсия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пяточная шпора и др.</w:t>
      </w:r>
      <w:r/>
    </w:p>
    <w:p>
      <w:pPr>
        <w:ind w:left="0" w:right="0" w:firstLine="0"/>
        <w:spacing w:after="0" w:line="25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системные поражения соединительной ткани: ревматоидный артрит,     болезнь Бехтерева (анкилозирующий спондилит), системная красная волчанка и др. </w:t>
      </w:r>
      <w:r/>
    </w:p>
    <w:p>
      <w:pPr>
        <w:ind w:left="0" w:right="0" w:firstLine="0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демиелинизирующие болезни центральной нервной системы</w:t>
      </w:r>
      <w:r/>
    </w:p>
    <w:p>
      <w:pPr>
        <w:ind w:left="0" w:right="0" w:firstLine="0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хроническая почечная и печеночная недостаточность</w:t>
      </w:r>
      <w:r/>
    </w:p>
    <w:p>
      <w:pPr>
        <w:ind w:left="0" w:right="0" w:firstLine="0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Зубопротезирование, подготовка к зубопротезированию; плановое лечение заболеваний зубочелюстной системы; отбеливание зубов и покрытие фторлаком; снятие зубных отложений с зубов, не подлежащих лечению; замена старых пломб.</w:t>
      </w:r>
      <w:r/>
    </w:p>
    <w:p>
      <w:pPr>
        <w:ind w:left="0" w:right="0" w:firstLine="0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Рефлексотерапия и ее модификации, мануальная терапия и др.</w:t>
      </w:r>
      <w:r/>
    </w:p>
    <w:p>
      <w:pPr>
        <w:ind w:left="375" w:right="0" w:firstLine="0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Программы ДМС не предусматривают оплату услуг, связанных с профилактическими посещениями врачей или полученные без назначения врача. Эти услуги нельзя получить за счет средств страховой компании и оплачиваются пациентом за свой счет.</w:t>
      </w:r>
      <w:r/>
    </w:p>
    <w:p>
      <w:pPr>
        <w:ind w:left="0" w:right="0" w:firstLine="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Более подробную информацию о страховых случаях можно получить, изучив свою персональную программу страхования, либо уточнить в страховой компании. Полный перечень доступных услуг зависит от страховой компании и индивидуальной программы, которая согласован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между Вами/Вашим работодателем и страховой компанией.</w:t>
      </w:r>
      <w:r/>
    </w:p>
    <w:p>
      <w:pPr>
        <w:ind w:left="0" w:right="0" w:firstLine="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 остальных случаях пациент обслуживается за свой счет.</w:t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  <w:br/>
        <w:t xml:space="preserve"> При принятии решения о том, какие услуги будут оплачены страховой компанией, врач руководствуется программой страхования, стандартами и клиническими рекомендациями Минздрава РФ по оказанию медицинской помощи.</w:t>
        <w:br/>
        <w:t xml:space="preserve"> 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Перечень стандартных исключений, которые, как правило, не покрываются обычным полисом ДМС: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Консультации специалистов:</w:t>
      </w:r>
      <w:r/>
    </w:p>
    <w:p>
      <w:pPr>
        <w:numPr>
          <w:ilvl w:val="0"/>
          <w:numId w:val="14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акушер-гинеколог (ведение беременности); – по согласованию со страховой компанией;</w:t>
      </w:r>
      <w:r/>
    </w:p>
    <w:p>
      <w:pPr>
        <w:numPr>
          <w:ilvl w:val="0"/>
          <w:numId w:val="14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андролог;</w:t>
      </w:r>
      <w:r/>
    </w:p>
    <w:p>
      <w:pPr>
        <w:numPr>
          <w:ilvl w:val="0"/>
          <w:numId w:val="14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иглорефлексотерапевт – по согласованию со страховой компанией;</w:t>
      </w:r>
      <w:r/>
    </w:p>
    <w:p>
      <w:pPr>
        <w:numPr>
          <w:ilvl w:val="0"/>
          <w:numId w:val="14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психиатр, психотерапевт – по согласованию со страховой компанией;</w:t>
      </w:r>
      <w:r/>
    </w:p>
    <w:p>
      <w:pPr>
        <w:numPr>
          <w:ilvl w:val="0"/>
          <w:numId w:val="14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специалисты с нестандартной стоимостью приема (высоко востребованные, с ученой степенью, заслуженные доктора) – по согласованию со страховой компанией.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Услуги:</w:t>
      </w:r>
      <w:r/>
    </w:p>
    <w:p>
      <w:pPr>
        <w:numPr>
          <w:ilvl w:val="0"/>
          <w:numId w:val="15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заполнение санаторно-курортной карты – по согласованию со страховой компанией;</w:t>
      </w:r>
      <w:r/>
    </w:p>
    <w:p>
      <w:pPr>
        <w:numPr>
          <w:ilvl w:val="0"/>
          <w:numId w:val="15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выдача справок (в бассейн, для спортивных секций/соревнований, в ВУЗ) – по согласованию со страховой компанией;</w:t>
      </w:r>
      <w:r/>
    </w:p>
    <w:p>
      <w:pPr>
        <w:numPr>
          <w:ilvl w:val="0"/>
          <w:numId w:val="15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медицинские осмотры перед поступлением в сад/школу – по согласованию со страховой компанией;</w:t>
      </w:r>
      <w:r/>
    </w:p>
    <w:p>
      <w:pPr>
        <w:numPr>
          <w:ilvl w:val="0"/>
          <w:numId w:val="15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предоперационное обследование – по согласованию со страховой компанией.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Манипуляции: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антицеллюлитный массаж;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введение/удаление внутриматочной спирали;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провокация гоновакциной;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вакцинация взрослых – по согласованию со страховой компанией;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вакцинация детей сверх национального календаря прививок – по согласованию со страховой компанией;</w:t>
      </w:r>
      <w:r/>
    </w:p>
    <w:p>
      <w:pPr>
        <w:numPr>
          <w:ilvl w:val="0"/>
          <w:numId w:val="16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удаление папиллом/бородавок/кондилом/невусов/липом/атером – по согласованию со страховой компанией;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Анализы:</w:t>
      </w:r>
      <w:r/>
    </w:p>
    <w:p>
      <w:pPr>
        <w:numPr>
          <w:ilvl w:val="0"/>
          <w:numId w:val="17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биохимические исследования на витамины – по согласованию со страховой компанией;</w:t>
      </w:r>
      <w:r/>
    </w:p>
    <w:p>
      <w:pPr>
        <w:numPr>
          <w:ilvl w:val="0"/>
          <w:numId w:val="17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ограничение по анализам ПЦР, бактериологическим исследованиям, гормонам, иммунному статусу.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Ультразвуковые исследования:</w:t>
      </w:r>
      <w:r/>
    </w:p>
    <w:p>
      <w:pPr>
        <w:numPr>
          <w:ilvl w:val="0"/>
          <w:numId w:val="18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фолликулометрия;</w:t>
      </w:r>
      <w:r/>
    </w:p>
    <w:p>
      <w:pPr>
        <w:numPr>
          <w:ilvl w:val="0"/>
          <w:numId w:val="18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доплерометрия беременных – по согласованию со страховой компанией;</w:t>
      </w:r>
      <w:r/>
    </w:p>
    <w:p>
      <w:pPr>
        <w:numPr>
          <w:ilvl w:val="0"/>
          <w:numId w:val="18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УЗИ при беременности– по согласованию со страховой компанией;</w:t>
      </w:r>
      <w:r/>
    </w:p>
    <w:p>
      <w:pPr>
        <w:numPr>
          <w:ilvl w:val="0"/>
          <w:numId w:val="18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УЗИ сердца и магистральных сосудов плода.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Стоматология:</w:t>
      </w:r>
      <w:r/>
    </w:p>
    <w:p>
      <w:pPr>
        <w:numPr>
          <w:ilvl w:val="0"/>
          <w:numId w:val="19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обучение правилам гигиены полости рта;</w:t>
      </w:r>
      <w:r/>
    </w:p>
    <w:p>
      <w:pPr>
        <w:numPr>
          <w:ilvl w:val="0"/>
          <w:numId w:val="19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полировка;</w:t>
      </w:r>
      <w:r/>
    </w:p>
    <w:p>
      <w:pPr>
        <w:numPr>
          <w:ilvl w:val="0"/>
          <w:numId w:val="19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отбеливание зубов;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 наличии направления от врача другого лечебно-профилактического учреждения (ЛПУ), необходимо иметь при себе: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20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гарантийное письмо на оказание данных услуг;</w:t>
      </w:r>
      <w:r/>
    </w:p>
    <w:p>
      <w:pPr>
        <w:numPr>
          <w:ilvl w:val="0"/>
          <w:numId w:val="20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направления с указанием диагноза.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Во избежание недоразумений убедительно просим Вас соблюдать следующие рекомендации:</w:t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  <w:br/>
        <w:t xml:space="preserve"> При разговоре с оператором колл-центра/администратором клиники, пожалуйста, укажите, что Вы обслуживаетесь по программе Добровольного медицинского страхования.</w:t>
        <w:br/>
        <w:t xml:space="preserve"> </w:t>
        <w:br/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При посещении клиники необходимо предоставить:</w:t>
      </w:r>
      <w:r/>
    </w:p>
    <w:p>
      <w:pPr>
        <w:numPr>
          <w:ilvl w:val="0"/>
          <w:numId w:val="21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паспорт или иной документ, удостоверяющий личность;</w:t>
      </w:r>
      <w:r/>
    </w:p>
    <w:p>
      <w:pPr>
        <w:numPr>
          <w:ilvl w:val="0"/>
          <w:numId w:val="21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полис ДМС, на которой указаны сведения о номере страхового полиса и срок действия договора страхования либо электронный полис.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 Если для приема необходимо гарантийное письмо, сделайте запрос в страховую компанию за несколько дней до приема самостоятельно.</w:t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  <w:br/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До начала приема</w:t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Обязательно обратитесь к администратору/ оператору клиники, чтобы он забронировал время визита зафиксировал Ваш визит.  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Если гарантийного письма нет или Вы не заказали его заранее, свяжитесь с куратором (телефон указан на страховой карточке) или обратитесь по телефону горячей линии своей страховой компании и запросите гарантийное письмо.</w:t>
        <w:br/>
        <w:t xml:space="preserve"> </w:t>
        <w:br/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Все назначенные и согласованные страховой компанией анализы и исследования должны быть выполнены в течение 10 дней после назначения, в противном случае, после утраты страховых признаков, оплачиваются пациентом.     </w:t>
        <w:br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  <w:br/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Обратите внимание, что пациенты, имеющие договор ДМС, обязаны произвести оплату медицинских услуг за свой счет в следующих случаях:</w:t>
      </w:r>
      <w:r/>
    </w:p>
    <w:p>
      <w:pPr>
        <w:numPr>
          <w:ilvl w:val="0"/>
          <w:numId w:val="22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пациентом получены медицинские услуги, которые не входят в программу ДМС или являются исключением из нее;</w:t>
      </w:r>
      <w:r/>
    </w:p>
    <w:p>
      <w:pPr>
        <w:numPr>
          <w:ilvl w:val="0"/>
          <w:numId w:val="22"/>
        </w:numPr>
        <w:spacing w:before="0" w:after="150"/>
        <w:shd w:val="clear" w:color="ffffff" w:fill="ffffff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пациентом получены медицинские услуги, которые пациент хочет получить по собственному желанию, а не по назначению врача.</w:t>
      </w:r>
      <w:r/>
    </w:p>
    <w:p>
      <w:pPr>
        <w:ind w:left="0" w:right="0" w:firstLine="0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по медицинским показаниям необходимо получить услуги, которые не входят в Вашу программу страхования, то 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Вам необходимо самостоятельно связаться со страховой компанией и согласовать с ними данный вопрос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При положительном решении страховая компания предоставляет нам гарантийное письмо на оплату услуг сверх программы, и мы сможем оказать их Вам, не взимая дополнительной платы.</w:t>
        <w:br/>
        <w:t xml:space="preserve"> </w:t>
        <w:br/>
        <w:t xml:space="preserve"> </w:t>
      </w:r>
      <w:r/>
    </w:p>
    <w:p>
      <w:pPr>
        <w:ind w:left="0" w:right="0" w:firstLine="0"/>
        <w:spacing w:after="0" w:line="31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Список страховых компаний, с которыми сотрудничает клиника «Здоровье нации»:</w:t>
      </w:r>
      <w:r/>
    </w:p>
    <w:p>
      <w:pPr>
        <w:ind w:left="375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"Зетта Страхование жизни"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"Абсолют Страхование"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"СК"Капитал-полис"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"Капитал Лайф Страхование Жизни»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ОСАО "Ингосстрах"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"Европ Ассистанс СНГ"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"МСР"</w:t>
      </w:r>
      <w:r/>
    </w:p>
    <w:p>
      <w:pPr>
        <w:numPr>
          <w:ilvl w:val="0"/>
          <w:numId w:val="14"/>
        </w:num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"Медлейбл"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АО "Совкомбанк Страхование"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ООО "МЛДЦ-НТ"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ПАО "Группа Ренессанс Страхование"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ООО СК "Согласие"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АО "Страховая бизнес группа"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АО Страховая группа "Спасские ворота"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САО "РЕСО-Гарантия"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АО "АльфаСтрахование"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САО "ВСК"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СОГАЗ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ООО "Бестдоктор"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АО "МАКС"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САО "Медэкспресс"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ООО "Национальная медслужба"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ПАО СК "Росгосстрах"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ООО "Регион-Медсервис"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ОАО САО "Энергогарант"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ОАО САО "Энергогарант" (Филиал Столичный)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ОАО САО "Энергогарант" (Липецкое отделение)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ООО "Экспресс Ассист Центр"</w:t>
      </w:r>
      <w:r/>
    </w:p>
    <w:p>
      <w:pPr>
        <w:numPr>
          <w:ilvl w:val="0"/>
          <w:numId w:val="14"/>
        </w:numPr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АО "ГСК"Югория-Страховщик"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jc w:val="both"/>
        <w:spacing w:after="0" w:line="315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jc w:val="both"/>
        <w:spacing w:after="0" w:line="315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5"/>
    <w:next w:val="875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basedOn w:val="876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5"/>
    <w:next w:val="875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basedOn w:val="876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5"/>
    <w:next w:val="875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basedOn w:val="876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5"/>
    <w:next w:val="875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6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5"/>
    <w:next w:val="875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6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5"/>
    <w:next w:val="875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6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5"/>
    <w:next w:val="875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6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5"/>
    <w:next w:val="875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6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5"/>
    <w:next w:val="875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6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List Paragraph"/>
    <w:basedOn w:val="87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Наталья Вячеславовна</dc:creator>
  <cp:keywords/>
  <dc:description/>
  <cp:lastModifiedBy>Антон Левин</cp:lastModifiedBy>
  <cp:revision>9</cp:revision>
  <dcterms:created xsi:type="dcterms:W3CDTF">2023-12-06T13:50:00Z</dcterms:created>
  <dcterms:modified xsi:type="dcterms:W3CDTF">2024-01-11T11:48:58Z</dcterms:modified>
</cp:coreProperties>
</file>